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1014A3">
              <w:rPr>
                <w:rFonts w:ascii="Arial" w:hAnsi="Arial" w:cs="Arial"/>
                <w:b/>
                <w:noProof/>
                <w:color w:val="0000FF"/>
                <w:szCs w:val="20"/>
              </w:rPr>
              <w:t>14</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5D188D">
              <w:rPr>
                <w:rFonts w:ascii="Arial" w:hAnsi="Arial" w:cs="Arial"/>
                <w:b/>
                <w:noProof/>
                <w:color w:val="0000FF"/>
                <w:szCs w:val="20"/>
              </w:rPr>
              <w:t>92</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5D188D">
              <w:rPr>
                <w:rFonts w:ascii="Arial" w:hAnsi="Arial" w:cs="Arial"/>
                <w:b/>
                <w:noProof/>
                <w:color w:val="0000FF"/>
                <w:szCs w:val="20"/>
              </w:rPr>
              <w:t>2364970</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1014A3">
        <w:rPr>
          <w:rFonts w:ascii="Arial" w:hAnsi="Arial" w:cs="Arial"/>
          <w:sz w:val="20"/>
          <w:szCs w:val="20"/>
        </w:rPr>
        <w:t>DECIMOCUARTA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5D188D" w:rsidRPr="005D188D">
        <w:rPr>
          <w:rFonts w:ascii="Arial" w:hAnsi="Arial" w:cs="Arial"/>
          <w:b/>
          <w:bCs/>
          <w:color w:val="0000FF"/>
          <w:sz w:val="20"/>
          <w:szCs w:val="20"/>
        </w:rPr>
        <w:t>E.S.T. No. 89 "Raúl Madero González"</w:t>
      </w:r>
    </w:p>
    <w:p w:rsidR="00254133" w:rsidRPr="00EE5D6A" w:rsidRDefault="005D188D" w:rsidP="009F17F9">
      <w:pPr>
        <w:jc w:val="center"/>
        <w:rPr>
          <w:rFonts w:ascii="Arial" w:hAnsi="Arial" w:cs="Arial"/>
          <w:bCs/>
          <w:color w:val="0000FF"/>
          <w:sz w:val="20"/>
          <w:szCs w:val="20"/>
        </w:rPr>
      </w:pPr>
      <w:r w:rsidRPr="005D188D">
        <w:rPr>
          <w:rFonts w:ascii="Arial" w:hAnsi="Arial" w:cs="Arial"/>
          <w:bCs/>
          <w:color w:val="0000FF"/>
          <w:sz w:val="20"/>
          <w:szCs w:val="20"/>
        </w:rPr>
        <w:t>Adecuación de servicios sanitarios y construcción de rampa</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5D188D">
        <w:rPr>
          <w:rFonts w:ascii="Arial" w:hAnsi="Arial" w:cs="Arial"/>
          <w:bCs/>
          <w:color w:val="0000FF"/>
          <w:sz w:val="20"/>
          <w:szCs w:val="20"/>
        </w:rPr>
        <w:t xml:space="preserve">Domicilio Conocido S/N, Localidad </w:t>
      </w:r>
      <w:proofErr w:type="spellStart"/>
      <w:r w:rsidRPr="005D188D">
        <w:rPr>
          <w:rFonts w:ascii="Arial" w:hAnsi="Arial" w:cs="Arial"/>
          <w:bCs/>
          <w:color w:val="0000FF"/>
          <w:sz w:val="20"/>
          <w:szCs w:val="20"/>
        </w:rPr>
        <w:t>Huachichil</w:t>
      </w:r>
      <w:proofErr w:type="spellEnd"/>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5D188D">
        <w:rPr>
          <w:rFonts w:ascii="Arial" w:hAnsi="Arial" w:cs="Arial"/>
          <w:bCs/>
          <w:color w:val="0000FF"/>
          <w:sz w:val="20"/>
          <w:szCs w:val="20"/>
        </w:rPr>
        <w:t>Arteaga</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5D188D" w:rsidRPr="00BE046F" w:rsidRDefault="005D188D" w:rsidP="005D188D">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5D188D">
              <w:rPr>
                <w:rFonts w:ascii="Arial" w:hAnsi="Arial" w:cs="Arial"/>
                <w:b/>
                <w:bCs/>
                <w:color w:val="0000FF"/>
                <w:sz w:val="20"/>
                <w:szCs w:val="20"/>
              </w:rPr>
              <w:t>E.S.T. No. 89 "Raúl Madero González"</w:t>
            </w:r>
          </w:p>
          <w:p w:rsidR="0023129B" w:rsidRPr="00EE5D6A" w:rsidRDefault="005D188D" w:rsidP="005D188D">
            <w:pPr>
              <w:jc w:val="center"/>
              <w:rPr>
                <w:rFonts w:ascii="Arial" w:hAnsi="Arial" w:cs="Arial"/>
                <w:bCs/>
                <w:color w:val="0000FF"/>
                <w:sz w:val="20"/>
                <w:szCs w:val="20"/>
              </w:rPr>
            </w:pPr>
            <w:r w:rsidRPr="005D188D">
              <w:rPr>
                <w:rFonts w:ascii="Arial" w:hAnsi="Arial" w:cs="Arial"/>
                <w:bCs/>
                <w:color w:val="0000FF"/>
                <w:sz w:val="20"/>
                <w:szCs w:val="20"/>
              </w:rPr>
              <w:t>Adecuación de servicios sanitarios y construcción de rampa</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5D188D">
              <w:rPr>
                <w:rFonts w:ascii="Arial" w:hAnsi="Arial" w:cs="Arial"/>
                <w:bCs/>
                <w:color w:val="0000FF"/>
                <w:sz w:val="20"/>
                <w:szCs w:val="20"/>
              </w:rPr>
              <w:t xml:space="preserve">Domicilio Conocido S/N, Localidad </w:t>
            </w:r>
            <w:proofErr w:type="spellStart"/>
            <w:r w:rsidRPr="005D188D">
              <w:rPr>
                <w:rFonts w:ascii="Arial" w:hAnsi="Arial" w:cs="Arial"/>
                <w:bCs/>
                <w:color w:val="0000FF"/>
                <w:sz w:val="20"/>
                <w:szCs w:val="20"/>
              </w:rPr>
              <w:t>Huachichil</w:t>
            </w:r>
            <w:proofErr w:type="spellEnd"/>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5D188D">
              <w:rPr>
                <w:rFonts w:ascii="Arial" w:hAnsi="Arial" w:cs="Arial"/>
                <w:bCs/>
                <w:color w:val="0000FF"/>
                <w:sz w:val="20"/>
                <w:szCs w:val="20"/>
              </w:rPr>
              <w:t>Arteaga</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1014A3" w:rsidRPr="001014A3">
        <w:rPr>
          <w:rFonts w:ascii="Arial" w:hAnsi="Arial" w:cs="Arial"/>
          <w:bCs/>
          <w:color w:val="0000FF"/>
          <w:sz w:val="20"/>
          <w:szCs w:val="20"/>
        </w:rPr>
        <w:t>Recursos Remanentes del F</w:t>
      </w:r>
      <w:r w:rsidR="00926EFB">
        <w:rPr>
          <w:rFonts w:ascii="Arial" w:hAnsi="Arial" w:cs="Arial"/>
          <w:bCs/>
          <w:color w:val="0000FF"/>
          <w:sz w:val="20"/>
          <w:szCs w:val="20"/>
        </w:rPr>
        <w:t>ondo de Aportaciones Múltiples</w:t>
      </w:r>
      <w:r w:rsidR="001014A3" w:rsidRPr="001014A3">
        <w:rPr>
          <w:rFonts w:ascii="Arial" w:hAnsi="Arial" w:cs="Arial"/>
          <w:bCs/>
          <w:color w:val="0000FF"/>
          <w:sz w:val="20"/>
          <w:szCs w:val="20"/>
        </w:rPr>
        <w:t xml:space="preserve"> </w:t>
      </w:r>
      <w:r w:rsidR="00505A6E" w:rsidRPr="001014A3">
        <w:rPr>
          <w:rFonts w:ascii="Arial" w:hAnsi="Arial" w:cs="Arial"/>
          <w:bCs/>
          <w:color w:val="0000FF"/>
          <w:sz w:val="20"/>
          <w:szCs w:val="20"/>
        </w:rPr>
        <w:t>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1014A3">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5D188D"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5D188D">
              <w:rPr>
                <w:rFonts w:ascii="Arial" w:hAnsi="Arial" w:cs="Arial"/>
                <w:b/>
                <w:bCs/>
                <w:color w:val="0000FF"/>
                <w:sz w:val="20"/>
                <w:szCs w:val="20"/>
              </w:rPr>
              <w:t>E.S.T. No. 89 "Raúl Madero González"</w:t>
            </w:r>
          </w:p>
        </w:tc>
        <w:tc>
          <w:tcPr>
            <w:tcW w:w="3118" w:type="dxa"/>
            <w:vAlign w:val="center"/>
          </w:tcPr>
          <w:p w:rsidR="00B54413" w:rsidRPr="00BE046F" w:rsidRDefault="001014A3" w:rsidP="001014A3">
            <w:pPr>
              <w:jc w:val="center"/>
              <w:rPr>
                <w:rFonts w:ascii="Arial" w:hAnsi="Arial" w:cs="Arial"/>
                <w:b/>
                <w:bCs/>
                <w:color w:val="0000FF"/>
                <w:sz w:val="20"/>
                <w:szCs w:val="20"/>
              </w:rPr>
            </w:pPr>
            <w:r>
              <w:rPr>
                <w:rFonts w:ascii="Arial" w:hAnsi="Arial" w:cs="Arial"/>
                <w:b/>
                <w:bCs/>
                <w:color w:val="0000FF"/>
                <w:sz w:val="20"/>
                <w:szCs w:val="20"/>
              </w:rPr>
              <w:t>20</w:t>
            </w:r>
            <w:r w:rsidR="00B54413" w:rsidRPr="00BE046F">
              <w:rPr>
                <w:rFonts w:ascii="Arial" w:hAnsi="Arial" w:cs="Arial"/>
                <w:b/>
                <w:bCs/>
                <w:color w:val="0000FF"/>
                <w:sz w:val="20"/>
                <w:szCs w:val="20"/>
              </w:rPr>
              <w:t xml:space="preserve"> de </w:t>
            </w:r>
            <w:r>
              <w:rPr>
                <w:rFonts w:ascii="Arial" w:hAnsi="Arial" w:cs="Arial"/>
                <w:b/>
                <w:bCs/>
                <w:color w:val="0000FF"/>
                <w:sz w:val="20"/>
                <w:szCs w:val="20"/>
              </w:rPr>
              <w:t>diciembre</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5D188D" w:rsidP="005D188D">
            <w:pPr>
              <w:jc w:val="center"/>
              <w:rPr>
                <w:rFonts w:ascii="Arial" w:hAnsi="Arial" w:cs="Arial"/>
                <w:b/>
                <w:bCs/>
                <w:color w:val="0000FF"/>
                <w:sz w:val="20"/>
                <w:szCs w:val="20"/>
              </w:rPr>
            </w:pPr>
            <w:r>
              <w:rPr>
                <w:rFonts w:ascii="Arial" w:hAnsi="Arial" w:cs="Arial"/>
                <w:b/>
                <w:bCs/>
                <w:color w:val="0000FF"/>
                <w:sz w:val="20"/>
                <w:szCs w:val="20"/>
              </w:rPr>
              <w:t>17</w:t>
            </w:r>
            <w:r w:rsidR="00B54413" w:rsidRPr="00203E98">
              <w:rPr>
                <w:rFonts w:ascii="Arial" w:hAnsi="Arial" w:cs="Arial"/>
                <w:b/>
                <w:bCs/>
                <w:color w:val="0000FF"/>
                <w:sz w:val="20"/>
                <w:szCs w:val="20"/>
              </w:rPr>
              <w:t xml:space="preserve"> de </w:t>
            </w:r>
            <w:r>
              <w:rPr>
                <w:rFonts w:ascii="Arial" w:hAnsi="Arial" w:cs="Arial"/>
                <w:b/>
                <w:bCs/>
                <w:color w:val="0000FF"/>
                <w:sz w:val="20"/>
                <w:szCs w:val="20"/>
              </w:rPr>
              <w:t>febrero</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1014A3">
              <w:rPr>
                <w:rFonts w:ascii="Arial" w:hAnsi="Arial" w:cs="Arial"/>
                <w:b/>
                <w:bCs/>
                <w:color w:val="0000FF"/>
                <w:sz w:val="20"/>
                <w:szCs w:val="20"/>
              </w:rPr>
              <w:t>2</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5D188D">
        <w:rPr>
          <w:rFonts w:ascii="Arial" w:hAnsi="Arial" w:cs="Arial"/>
          <w:b/>
          <w:bCs/>
          <w:color w:val="0000FF"/>
          <w:sz w:val="20"/>
          <w:szCs w:val="20"/>
        </w:rPr>
        <w:t>2364970</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5D188D">
        <w:rPr>
          <w:rFonts w:ascii="Arial" w:hAnsi="Arial" w:cs="Arial"/>
          <w:b/>
          <w:bCs/>
          <w:color w:val="0000FF"/>
          <w:sz w:val="20"/>
          <w:szCs w:val="20"/>
        </w:rPr>
        <w:t>1,500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5D188D">
        <w:rPr>
          <w:rFonts w:ascii="Arial" w:hAnsi="Arial" w:cs="Arial"/>
          <w:b/>
          <w:bCs/>
          <w:color w:val="0000FF"/>
          <w:sz w:val="20"/>
          <w:szCs w:val="20"/>
        </w:rPr>
        <w:t>Mil quinientos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1014A3" w:rsidRPr="001014A3">
        <w:rPr>
          <w:rFonts w:ascii="Arial" w:hAnsi="Arial" w:cs="Arial"/>
          <w:b/>
          <w:bCs/>
          <w:noProof/>
          <w:color w:val="0000FF"/>
          <w:sz w:val="20"/>
          <w:szCs w:val="20"/>
        </w:rPr>
        <w:t>23, 24, 25, 26, 29, 30 de noviembre y 01, 02 de diciembre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5D188D">
        <w:rPr>
          <w:rFonts w:ascii="Arial" w:hAnsi="Arial" w:cs="Arial"/>
          <w:b/>
          <w:bCs/>
          <w:noProof/>
          <w:color w:val="0000FF"/>
          <w:sz w:val="20"/>
          <w:szCs w:val="20"/>
        </w:rPr>
        <w:t>2364970</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1014A3">
        <w:rPr>
          <w:rFonts w:cs="Arial"/>
          <w:b/>
          <w:color w:val="0000FF"/>
          <w:sz w:val="20"/>
        </w:rPr>
        <w:t>02</w:t>
      </w:r>
      <w:r w:rsidRPr="00511195">
        <w:rPr>
          <w:rFonts w:cs="Arial"/>
          <w:b/>
          <w:color w:val="0000FF"/>
          <w:sz w:val="20"/>
        </w:rPr>
        <w:t xml:space="preserve"> de </w:t>
      </w:r>
      <w:r w:rsidR="001014A3">
        <w:rPr>
          <w:rFonts w:cs="Arial"/>
          <w:b/>
          <w:bCs/>
          <w:noProof/>
          <w:color w:val="0000FF"/>
          <w:sz w:val="20"/>
        </w:rPr>
        <w:t>diciembre</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lastRenderedPageBreak/>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r w:rsidR="005D188D" w:rsidRPr="005D188D">
              <w:rPr>
                <w:rFonts w:ascii="Arial" w:hAnsi="Arial" w:cs="Arial"/>
                <w:b/>
                <w:bCs/>
                <w:color w:val="0000FF"/>
                <w:sz w:val="20"/>
                <w:szCs w:val="20"/>
              </w:rPr>
              <w:t>E.S.T. No. 89 "Raúl Madero González"</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5D188D" w:rsidRPr="005D188D">
              <w:rPr>
                <w:rFonts w:ascii="Arial" w:hAnsi="Arial" w:cs="Arial"/>
                <w:b/>
                <w:bCs/>
                <w:color w:val="0000FF"/>
                <w:sz w:val="20"/>
                <w:szCs w:val="20"/>
              </w:rPr>
              <w:t xml:space="preserve">Domicilio Conocido S/N, Localidad </w:t>
            </w:r>
            <w:proofErr w:type="spellStart"/>
            <w:r w:rsidR="005D188D" w:rsidRPr="005D188D">
              <w:rPr>
                <w:rFonts w:ascii="Arial" w:hAnsi="Arial" w:cs="Arial"/>
                <w:b/>
                <w:bCs/>
                <w:color w:val="0000FF"/>
                <w:sz w:val="20"/>
                <w:szCs w:val="20"/>
              </w:rPr>
              <w:t>Huachichil</w:t>
            </w:r>
            <w:proofErr w:type="spellEnd"/>
            <w:r w:rsidR="004C64BE">
              <w:rPr>
                <w:rFonts w:ascii="Arial" w:hAnsi="Arial" w:cs="Arial"/>
                <w:bCs/>
                <w:color w:val="0000FF"/>
                <w:sz w:val="20"/>
                <w:szCs w:val="20"/>
              </w:rPr>
              <w:t xml:space="preserve"> </w:t>
            </w:r>
            <w:r w:rsidR="008E200D" w:rsidRPr="00511195">
              <w:rPr>
                <w:rFonts w:ascii="Arial" w:hAnsi="Arial" w:cs="Arial"/>
                <w:sz w:val="20"/>
                <w:szCs w:val="20"/>
              </w:rPr>
              <w:t xml:space="preserve">en el municipio de </w:t>
            </w:r>
            <w:r w:rsidR="005D188D" w:rsidRPr="005D188D">
              <w:rPr>
                <w:rFonts w:ascii="Arial" w:hAnsi="Arial" w:cs="Arial"/>
                <w:b/>
                <w:bCs/>
                <w:color w:val="0000FF"/>
                <w:sz w:val="20"/>
                <w:szCs w:val="20"/>
              </w:rPr>
              <w:t>Arteaga</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1014A3">
              <w:rPr>
                <w:rFonts w:ascii="Arial" w:hAnsi="Arial" w:cs="Arial"/>
                <w:b/>
                <w:color w:val="0000FF"/>
                <w:sz w:val="20"/>
                <w:szCs w:val="20"/>
              </w:rPr>
              <w:t>02</w:t>
            </w:r>
            <w:r w:rsidR="008E200D" w:rsidRPr="00511195">
              <w:rPr>
                <w:rFonts w:ascii="Arial" w:hAnsi="Arial" w:cs="Arial"/>
                <w:b/>
                <w:color w:val="0000FF"/>
                <w:sz w:val="20"/>
                <w:szCs w:val="20"/>
              </w:rPr>
              <w:t xml:space="preserve"> de </w:t>
            </w:r>
            <w:r w:rsidR="001014A3">
              <w:rPr>
                <w:rFonts w:ascii="Arial" w:hAnsi="Arial" w:cs="Arial"/>
                <w:b/>
                <w:color w:val="0000FF"/>
                <w:sz w:val="20"/>
                <w:szCs w:val="20"/>
              </w:rPr>
              <w:t>diciembre</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5D188D">
              <w:rPr>
                <w:rFonts w:ascii="Arial" w:hAnsi="Arial" w:cs="Arial"/>
                <w:b/>
                <w:color w:val="0000FF"/>
                <w:sz w:val="20"/>
                <w:szCs w:val="20"/>
              </w:rPr>
              <w:t>10</w:t>
            </w:r>
            <w:r w:rsidR="002B71EE">
              <w:rPr>
                <w:rFonts w:ascii="Arial" w:hAnsi="Arial" w:cs="Arial"/>
                <w:b/>
                <w:color w:val="0000FF"/>
                <w:sz w:val="20"/>
                <w:szCs w:val="20"/>
              </w:rPr>
              <w:t>:</w:t>
            </w:r>
            <w:r w:rsidR="005D188D">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5D188D" w:rsidRPr="005D188D">
              <w:rPr>
                <w:rFonts w:ascii="Arial" w:hAnsi="Arial" w:cs="Arial"/>
                <w:b/>
                <w:color w:val="0000FF"/>
                <w:sz w:val="20"/>
                <w:szCs w:val="20"/>
              </w:rPr>
              <w:t>Arq. Luis Alberto Cisneros Morales</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1014A3">
              <w:rPr>
                <w:rFonts w:ascii="Arial" w:hAnsi="Arial" w:cs="Arial"/>
                <w:b/>
                <w:color w:val="0000FF"/>
                <w:sz w:val="20"/>
                <w:szCs w:val="20"/>
              </w:rPr>
              <w:t>02</w:t>
            </w:r>
            <w:r>
              <w:rPr>
                <w:rFonts w:ascii="Arial" w:hAnsi="Arial" w:cs="Arial"/>
                <w:b/>
                <w:color w:val="0000FF"/>
                <w:sz w:val="20"/>
                <w:szCs w:val="20"/>
              </w:rPr>
              <w:t xml:space="preserve"> de </w:t>
            </w:r>
            <w:r w:rsidR="001014A3">
              <w:rPr>
                <w:rFonts w:ascii="Arial" w:hAnsi="Arial" w:cs="Arial"/>
                <w:b/>
                <w:color w:val="0000FF"/>
                <w:sz w:val="20"/>
                <w:szCs w:val="20"/>
              </w:rPr>
              <w:t>diciembre</w:t>
            </w:r>
            <w:r>
              <w:rPr>
                <w:rFonts w:ascii="Arial" w:hAnsi="Arial" w:cs="Arial"/>
                <w:b/>
                <w:color w:val="0000FF"/>
                <w:sz w:val="20"/>
                <w:szCs w:val="20"/>
              </w:rPr>
              <w:t xml:space="preserve">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ICIFED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r>
              <w:rPr>
                <w:rFonts w:ascii="Arial" w:hAnsi="Arial" w:cs="Arial"/>
                <w:b/>
                <w:bCs/>
                <w:sz w:val="20"/>
                <w:szCs w:val="20"/>
              </w:rPr>
              <w:t>Blvd.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1014A3">
              <w:rPr>
                <w:rFonts w:ascii="Arial" w:hAnsi="Arial" w:cs="Arial"/>
                <w:b/>
                <w:bCs/>
                <w:noProof/>
                <w:color w:val="0000FF"/>
              </w:rPr>
              <w:t>08</w:t>
            </w:r>
            <w:r w:rsidR="008E200D" w:rsidRPr="00511195">
              <w:rPr>
                <w:rFonts w:ascii="Arial" w:hAnsi="Arial" w:cs="Arial"/>
                <w:b/>
                <w:bCs/>
                <w:noProof/>
                <w:color w:val="0000FF"/>
              </w:rPr>
              <w:t xml:space="preserve"> de </w:t>
            </w:r>
            <w:r w:rsidR="001014A3">
              <w:rPr>
                <w:rFonts w:ascii="Arial" w:hAnsi="Arial" w:cs="Arial"/>
                <w:b/>
                <w:color w:val="0000FF"/>
              </w:rPr>
              <w:t>diciembre</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5D188D">
              <w:rPr>
                <w:rFonts w:ascii="Arial" w:hAnsi="Arial" w:cs="Arial"/>
                <w:b/>
                <w:bCs/>
                <w:noProof/>
                <w:color w:val="0000FF"/>
              </w:rPr>
              <w:t>10</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5D188D">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1014A3">
              <w:rPr>
                <w:rFonts w:ascii="Arial" w:hAnsi="Arial" w:cs="Arial"/>
                <w:b/>
                <w:bCs/>
                <w:noProof/>
                <w:color w:val="0000FF"/>
                <w:sz w:val="20"/>
                <w:szCs w:val="20"/>
              </w:rPr>
              <w:t>15</w:t>
            </w:r>
            <w:r w:rsidR="008E200D" w:rsidRPr="00511195">
              <w:rPr>
                <w:rFonts w:ascii="Arial" w:hAnsi="Arial" w:cs="Arial"/>
                <w:b/>
                <w:bCs/>
                <w:noProof/>
                <w:color w:val="0000FF"/>
                <w:sz w:val="20"/>
                <w:szCs w:val="20"/>
              </w:rPr>
              <w:t xml:space="preserve"> de </w:t>
            </w:r>
            <w:r w:rsidR="001014A3">
              <w:rPr>
                <w:rFonts w:ascii="Arial" w:hAnsi="Arial" w:cs="Arial"/>
                <w:b/>
                <w:color w:val="0000FF"/>
                <w:sz w:val="20"/>
                <w:szCs w:val="20"/>
              </w:rPr>
              <w:t>diciembre</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5D188D">
              <w:rPr>
                <w:rFonts w:ascii="Arial" w:hAnsi="Arial" w:cs="Arial"/>
                <w:b/>
                <w:bCs/>
                <w:noProof/>
                <w:color w:val="0000FF"/>
                <w:sz w:val="20"/>
                <w:szCs w:val="20"/>
              </w:rPr>
              <w:t>13</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705E1C">
              <w:rPr>
                <w:rFonts w:ascii="Arial" w:hAnsi="Arial" w:cs="Arial"/>
                <w:b/>
                <w:sz w:val="20"/>
                <w:szCs w:val="20"/>
              </w:rPr>
              <w:t>Gobierno del Estado de Coahuila de Zaragoza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r w:rsidR="00705E1C">
              <w:rPr>
                <w:rFonts w:ascii="Arial" w:hAnsi="Arial" w:cs="Arial"/>
                <w:b/>
                <w:bCs/>
                <w:sz w:val="20"/>
                <w:szCs w:val="20"/>
              </w:rPr>
              <w:t>Castelar y General Cepeda S/N, Zona Centro, C.P. 25000,</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705E1C">
              <w:rPr>
                <w:rFonts w:ascii="Arial" w:hAnsi="Arial" w:cs="Arial"/>
                <w:b/>
                <w:bCs/>
                <w:sz w:val="20"/>
                <w:szCs w:val="20"/>
              </w:rPr>
              <w:t>GEC890714J68</w:t>
            </w:r>
            <w:r w:rsidR="00D136E8" w:rsidRPr="009E0C24">
              <w:rPr>
                <w:rFonts w:ascii="Arial" w:hAnsi="Arial" w:cs="Arial"/>
                <w:b/>
                <w:bCs/>
                <w:sz w:val="20"/>
                <w:szCs w:val="20"/>
              </w:rPr>
              <w:t>.</w:t>
            </w:r>
          </w:p>
          <w:p w:rsidR="00D80911" w:rsidRDefault="00D80911" w:rsidP="00032DFE">
            <w:pPr>
              <w:jc w:val="both"/>
              <w:rPr>
                <w:rFonts w:ascii="Arial" w:hAnsi="Arial" w:cs="Arial"/>
                <w:b/>
                <w:color w:val="000000"/>
                <w:sz w:val="20"/>
                <w:szCs w:val="20"/>
              </w:rPr>
            </w:pPr>
          </w:p>
          <w:p w:rsidR="00032DFE" w:rsidRPr="005D4F3E" w:rsidRDefault="00032DFE" w:rsidP="00032DFE">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lastRenderedPageBreak/>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w:t>
            </w:r>
            <w:bookmarkStart w:id="0" w:name="_GoBack"/>
            <w:bookmarkEnd w:id="0"/>
            <w:r w:rsidRPr="00D01FE9">
              <w:rPr>
                <w:rFonts w:ascii="Arial" w:hAnsi="Arial" w:cs="Arial"/>
                <w:b/>
                <w:color w:val="000000"/>
                <w:sz w:val="20"/>
                <w:szCs w:val="20"/>
              </w:rPr>
              <w:t>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 xml:space="preserve">EN CASO DE </w:t>
      </w:r>
      <w:r w:rsidRPr="00383F9E">
        <w:rPr>
          <w:rFonts w:ascii="Arial" w:hAnsi="Arial" w:cs="Arial"/>
          <w:b/>
          <w:sz w:val="20"/>
          <w:szCs w:val="20"/>
        </w:rPr>
        <w:lastRenderedPageBreak/>
        <w:t>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5D188D">
        <w:rPr>
          <w:rFonts w:ascii="Arial" w:hAnsi="Arial" w:cs="Arial"/>
          <w:b/>
          <w:noProof/>
          <w:color w:val="0000FF"/>
          <w:sz w:val="20"/>
          <w:szCs w:val="20"/>
        </w:rPr>
        <w:t>500,000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5D188D">
        <w:rPr>
          <w:rFonts w:ascii="Arial" w:hAnsi="Arial" w:cs="Arial"/>
          <w:b/>
          <w:noProof/>
          <w:color w:val="0000FF"/>
          <w:sz w:val="20"/>
          <w:szCs w:val="20"/>
        </w:rPr>
        <w:t>Quinientos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5D188D" w:rsidRPr="002C0F6F">
        <w:rPr>
          <w:rFonts w:ascii="Arial" w:hAnsi="Arial" w:cs="Arial"/>
          <w:b/>
          <w:noProof/>
          <w:color w:val="0000FF"/>
          <w:sz w:val="20"/>
          <w:szCs w:val="20"/>
        </w:rPr>
        <w:t xml:space="preserve">$ </w:t>
      </w:r>
      <w:r w:rsidR="005D188D">
        <w:rPr>
          <w:rFonts w:ascii="Arial" w:hAnsi="Arial" w:cs="Arial"/>
          <w:b/>
          <w:noProof/>
          <w:color w:val="0000FF"/>
          <w:sz w:val="20"/>
          <w:szCs w:val="20"/>
        </w:rPr>
        <w:t>500,000</w:t>
      </w:r>
      <w:r w:rsidR="005D188D" w:rsidRPr="002C0F6F">
        <w:rPr>
          <w:rFonts w:ascii="Arial" w:hAnsi="Arial" w:cs="Arial"/>
          <w:b/>
          <w:noProof/>
          <w:color w:val="0000FF"/>
          <w:sz w:val="20"/>
          <w:szCs w:val="20"/>
        </w:rPr>
        <w:t>.00 (</w:t>
      </w:r>
      <w:r w:rsidR="005D188D">
        <w:rPr>
          <w:rFonts w:ascii="Arial" w:hAnsi="Arial" w:cs="Arial"/>
          <w:b/>
          <w:noProof/>
          <w:color w:val="0000FF"/>
          <w:sz w:val="20"/>
          <w:szCs w:val="20"/>
        </w:rPr>
        <w:t>Quinientos mil</w:t>
      </w:r>
      <w:r w:rsidR="005D188D" w:rsidRPr="002C0F6F">
        <w:rPr>
          <w:rFonts w:ascii="Arial" w:hAnsi="Arial" w:cs="Arial"/>
          <w:b/>
          <w:noProof/>
          <w:color w:val="0000FF"/>
          <w:sz w:val="20"/>
          <w:szCs w:val="20"/>
        </w:rPr>
        <w:t xml:space="preserve"> pesos</w:t>
      </w:r>
      <w:r w:rsidR="005D188D"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5D188D" w:rsidRPr="002C0F6F">
        <w:rPr>
          <w:rFonts w:ascii="Arial" w:hAnsi="Arial" w:cs="Arial"/>
          <w:b/>
          <w:noProof/>
          <w:color w:val="0000FF"/>
          <w:sz w:val="20"/>
          <w:szCs w:val="20"/>
        </w:rPr>
        <w:t xml:space="preserve">$ </w:t>
      </w:r>
      <w:r w:rsidR="005D188D">
        <w:rPr>
          <w:rFonts w:ascii="Arial" w:hAnsi="Arial" w:cs="Arial"/>
          <w:b/>
          <w:noProof/>
          <w:color w:val="0000FF"/>
          <w:sz w:val="20"/>
          <w:szCs w:val="20"/>
        </w:rPr>
        <w:t>500,000</w:t>
      </w:r>
      <w:r w:rsidR="005D188D" w:rsidRPr="002C0F6F">
        <w:rPr>
          <w:rFonts w:ascii="Arial" w:hAnsi="Arial" w:cs="Arial"/>
          <w:b/>
          <w:noProof/>
          <w:color w:val="0000FF"/>
          <w:sz w:val="20"/>
          <w:szCs w:val="20"/>
        </w:rPr>
        <w:t>.00 (</w:t>
      </w:r>
      <w:r w:rsidR="005D188D">
        <w:rPr>
          <w:rFonts w:ascii="Arial" w:hAnsi="Arial" w:cs="Arial"/>
          <w:b/>
          <w:noProof/>
          <w:color w:val="0000FF"/>
          <w:sz w:val="20"/>
          <w:szCs w:val="20"/>
        </w:rPr>
        <w:t>Quinientos mil</w:t>
      </w:r>
      <w:r w:rsidR="005D188D" w:rsidRPr="002C0F6F">
        <w:rPr>
          <w:rFonts w:ascii="Arial" w:hAnsi="Arial" w:cs="Arial"/>
          <w:b/>
          <w:noProof/>
          <w:color w:val="0000FF"/>
          <w:sz w:val="20"/>
          <w:szCs w:val="20"/>
        </w:rPr>
        <w:t xml:space="preserve"> pesos</w:t>
      </w:r>
      <w:r w:rsidR="005D188D"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lastRenderedPageBreak/>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w:t>
      </w:r>
      <w:r w:rsidR="0081507A">
        <w:rPr>
          <w:rFonts w:ascii="Arial" w:hAnsi="Arial" w:cs="Arial"/>
          <w:b/>
          <w:color w:val="000000"/>
        </w:rPr>
        <w:lastRenderedPageBreak/>
        <w:t>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 xml:space="preserve">(s) del presente </w:t>
      </w:r>
      <w:r w:rsidR="00E1679C">
        <w:rPr>
          <w:rFonts w:ascii="Arial" w:hAnsi="Arial" w:cs="Arial"/>
          <w:color w:val="000000"/>
          <w:sz w:val="20"/>
          <w:szCs w:val="20"/>
          <w:lang w:val="es-MX"/>
        </w:rPr>
        <w:lastRenderedPageBreak/>
        <w:t>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lastRenderedPageBreak/>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w:t>
      </w:r>
      <w:r w:rsidRPr="00D01FE9">
        <w:rPr>
          <w:rFonts w:cs="Arial"/>
          <w:color w:val="000000"/>
          <w:sz w:val="20"/>
        </w:rPr>
        <w:lastRenderedPageBreak/>
        <w:t xml:space="preserve">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lastRenderedPageBreak/>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lastRenderedPageBreak/>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w:t>
      </w:r>
      <w:r w:rsidRPr="00D01FE9">
        <w:rPr>
          <w:rFonts w:ascii="Arial" w:hAnsi="Arial" w:cs="Arial"/>
          <w:sz w:val="20"/>
          <w:szCs w:val="20"/>
        </w:rPr>
        <w:lastRenderedPageBreak/>
        <w:t>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lastRenderedPageBreak/>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w:t>
      </w:r>
      <w:r w:rsidRPr="00D01FE9">
        <w:rPr>
          <w:rFonts w:ascii="Arial" w:hAnsi="Arial" w:cs="Arial"/>
          <w:color w:val="000000"/>
          <w:sz w:val="20"/>
          <w:szCs w:val="20"/>
        </w:rPr>
        <w:lastRenderedPageBreak/>
        <w:t xml:space="preserve">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lastRenderedPageBreak/>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1014A3">
        <w:rPr>
          <w:rFonts w:ascii="Arial" w:hAnsi="Arial" w:cs="Arial"/>
          <w:b/>
          <w:bCs/>
          <w:color w:val="0000FF"/>
          <w:sz w:val="20"/>
          <w:szCs w:val="20"/>
        </w:rPr>
        <w:t>23</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1014A3">
        <w:rPr>
          <w:rFonts w:ascii="Arial" w:hAnsi="Arial" w:cs="Arial"/>
          <w:b/>
          <w:bCs/>
          <w:color w:val="0000FF"/>
          <w:sz w:val="20"/>
          <w:szCs w:val="20"/>
        </w:rPr>
        <w:t>noviembre</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88D" w:rsidRDefault="005D188D">
      <w:r>
        <w:separator/>
      </w:r>
    </w:p>
  </w:endnote>
  <w:endnote w:type="continuationSeparator" w:id="0">
    <w:p w:rsidR="005D188D" w:rsidRDefault="005D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8D" w:rsidRDefault="005D18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D188D" w:rsidRDefault="005D18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5D188D" w:rsidTr="0049429B">
      <w:tc>
        <w:tcPr>
          <w:tcW w:w="3816" w:type="dxa"/>
        </w:tcPr>
        <w:p w:rsidR="005D188D" w:rsidRDefault="005D188D"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5D188D" w:rsidRDefault="005D188D"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5D188D" w:rsidRDefault="005D188D"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705E1C">
            <w:rPr>
              <w:rStyle w:val="Nmerodepgina"/>
              <w:noProof/>
            </w:rPr>
            <w:t>5</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705E1C">
            <w:rPr>
              <w:rStyle w:val="Nmerodepgina"/>
              <w:noProof/>
            </w:rPr>
            <w:t>27</w:t>
          </w:r>
          <w:r>
            <w:rPr>
              <w:rStyle w:val="Nmerodepgina"/>
            </w:rPr>
            <w:fldChar w:fldCharType="end"/>
          </w:r>
          <w:r>
            <w:rPr>
              <w:rFonts w:ascii="Arial" w:hAnsi="Arial"/>
              <w:sz w:val="18"/>
            </w:rPr>
            <w:t xml:space="preserve">        </w:t>
          </w:r>
        </w:p>
      </w:tc>
    </w:tr>
  </w:tbl>
  <w:p w:rsidR="005D188D" w:rsidRDefault="005D188D">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8D" w:rsidRDefault="005D18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D188D" w:rsidRDefault="005D188D">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5D188D" w:rsidTr="0049429B">
      <w:tc>
        <w:tcPr>
          <w:tcW w:w="3816" w:type="dxa"/>
        </w:tcPr>
        <w:p w:rsidR="005D188D" w:rsidRDefault="005D188D"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5D188D" w:rsidRDefault="005D188D"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5D188D" w:rsidRDefault="005D188D"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5D188D" w:rsidRDefault="005D188D">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88D" w:rsidRDefault="005D188D">
      <w:r>
        <w:separator/>
      </w:r>
    </w:p>
  </w:footnote>
  <w:footnote w:type="continuationSeparator" w:id="0">
    <w:p w:rsidR="005D188D" w:rsidRDefault="005D1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8D" w:rsidRDefault="005D188D" w:rsidP="005F352B">
    <w:pPr>
      <w:jc w:val="right"/>
      <w:rPr>
        <w:rFonts w:ascii="Arial" w:hAnsi="Arial"/>
        <w:b/>
        <w:noProof/>
      </w:rPr>
    </w:pPr>
    <w:r>
      <w:rPr>
        <w:rFonts w:ascii="Arial" w:hAnsi="Arial"/>
        <w:b/>
      </w:rPr>
      <w:t xml:space="preserve">Procedimiento No. </w:t>
    </w:r>
    <w:r>
      <w:rPr>
        <w:rFonts w:ascii="Arial" w:hAnsi="Arial"/>
        <w:b/>
        <w:noProof/>
      </w:rPr>
      <w:t>CE-905025992-E92-2021</w:t>
    </w:r>
  </w:p>
  <w:p w:rsidR="005D188D" w:rsidRPr="00F64466" w:rsidRDefault="005D188D"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8D" w:rsidRDefault="005D188D"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5D188D" w:rsidRPr="00F64466" w:rsidRDefault="005D188D"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2DFE"/>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14A3"/>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8D"/>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5E1C"/>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6EFB"/>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500E"/>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0F44-230F-4D37-8815-8CB15D5A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27</Pages>
  <Words>15924</Words>
  <Characters>87942</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103659</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67</cp:revision>
  <cp:lastPrinted>2021-04-05T17:14:00Z</cp:lastPrinted>
  <dcterms:created xsi:type="dcterms:W3CDTF">2019-11-07T20:17:00Z</dcterms:created>
  <dcterms:modified xsi:type="dcterms:W3CDTF">2021-11-23T20:46:00Z</dcterms:modified>
</cp:coreProperties>
</file>